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88" w:type="dxa"/>
        <w:tblLayout w:type="fixed"/>
        <w:tblLook w:val="0000" w:firstRow="0" w:lastRow="0" w:firstColumn="0" w:lastColumn="0" w:noHBand="0" w:noVBand="0"/>
      </w:tblPr>
      <w:tblGrid>
        <w:gridCol w:w="6210"/>
        <w:gridCol w:w="4678"/>
      </w:tblGrid>
      <w:tr w:rsidR="000348ED" w:rsidRPr="001120B5" w14:paraId="0A121AA0" w14:textId="77777777" w:rsidTr="00C21007">
        <w:tc>
          <w:tcPr>
            <w:tcW w:w="6210" w:type="dxa"/>
          </w:tcPr>
          <w:p w14:paraId="17D48BC3" w14:textId="383852DA" w:rsidR="000348ED" w:rsidRPr="001120B5" w:rsidRDefault="005D05AC" w:rsidP="00DC369D">
            <w:pPr>
              <w:tabs>
                <w:tab w:val="left" w:pos="851"/>
              </w:tabs>
              <w:rPr>
                <w:rFonts w:ascii="Calibri" w:hAnsi="Calibri"/>
              </w:rPr>
            </w:pPr>
            <w:r w:rsidRPr="001120B5">
              <w:rPr>
                <w:rFonts w:ascii="Calibri" w:hAnsi="Calibri"/>
              </w:rPr>
              <w:t>From:</w:t>
            </w:r>
            <w:r w:rsidRPr="001120B5">
              <w:rPr>
                <w:rFonts w:ascii="Calibri" w:hAnsi="Calibri"/>
              </w:rPr>
              <w:tab/>
            </w:r>
            <w:r w:rsidR="00220FF8" w:rsidRPr="001120B5">
              <w:rPr>
                <w:rFonts w:ascii="Calibri" w:hAnsi="Calibri"/>
              </w:rPr>
              <w:t>ARM Committee</w:t>
            </w:r>
          </w:p>
        </w:tc>
        <w:tc>
          <w:tcPr>
            <w:tcW w:w="4678" w:type="dxa"/>
          </w:tcPr>
          <w:p w14:paraId="50027A13" w14:textId="2865B53A" w:rsidR="000348ED" w:rsidRPr="001120B5" w:rsidRDefault="00B63C8D" w:rsidP="005D05AC">
            <w:pPr>
              <w:jc w:val="right"/>
              <w:rPr>
                <w:rFonts w:ascii="Calibri" w:hAnsi="Calibri"/>
              </w:rPr>
            </w:pPr>
            <w:r w:rsidRPr="00B63C8D">
              <w:rPr>
                <w:rFonts w:ascii="Calibri" w:hAnsi="Calibri"/>
              </w:rPr>
              <w:t>ENAV30-5.2.</w:t>
            </w:r>
            <w:r>
              <w:rPr>
                <w:rFonts w:ascii="Calibri" w:hAnsi="Calibri"/>
              </w:rPr>
              <w:t>5</w:t>
            </w:r>
          </w:p>
        </w:tc>
      </w:tr>
      <w:tr w:rsidR="000348ED" w:rsidRPr="001120B5" w14:paraId="2FE13E98" w14:textId="77777777" w:rsidTr="00C21007">
        <w:tc>
          <w:tcPr>
            <w:tcW w:w="6210" w:type="dxa"/>
          </w:tcPr>
          <w:p w14:paraId="739418EE" w14:textId="58846548" w:rsidR="000348ED" w:rsidRPr="001120B5" w:rsidRDefault="005D05AC" w:rsidP="00E97226">
            <w:pPr>
              <w:tabs>
                <w:tab w:val="left" w:pos="851"/>
              </w:tabs>
              <w:rPr>
                <w:rFonts w:ascii="Calibri" w:hAnsi="Calibri"/>
              </w:rPr>
            </w:pPr>
            <w:r w:rsidRPr="001120B5">
              <w:rPr>
                <w:rFonts w:ascii="Calibri" w:hAnsi="Calibri"/>
              </w:rPr>
              <w:t>To:</w:t>
            </w:r>
            <w:r w:rsidRPr="001120B5">
              <w:rPr>
                <w:rFonts w:ascii="Calibri" w:hAnsi="Calibri"/>
              </w:rPr>
              <w:tab/>
            </w:r>
            <w:r w:rsidR="00220FF8" w:rsidRPr="001120B5">
              <w:rPr>
                <w:rFonts w:ascii="Calibri" w:hAnsi="Calibri"/>
              </w:rPr>
              <w:t>ENAV Committee</w:t>
            </w:r>
          </w:p>
        </w:tc>
        <w:tc>
          <w:tcPr>
            <w:tcW w:w="4678" w:type="dxa"/>
          </w:tcPr>
          <w:p w14:paraId="138D5421" w14:textId="1CAE5FF0" w:rsidR="000348ED" w:rsidRPr="001120B5" w:rsidRDefault="000348ED" w:rsidP="001A654A">
            <w:pPr>
              <w:jc w:val="right"/>
              <w:rPr>
                <w:rFonts w:ascii="Calibri" w:hAnsi="Calibri"/>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111D5C2F" w14:textId="40C52A67" w:rsidR="000348ED" w:rsidRPr="001120B5" w:rsidRDefault="00946176" w:rsidP="001E5BDE">
      <w:pPr>
        <w:pStyle w:val="Title"/>
        <w:spacing w:after="120"/>
        <w:rPr>
          <w:rFonts w:ascii="Calibri" w:hAnsi="Calibri"/>
          <w:color w:val="00558C"/>
        </w:rPr>
      </w:pPr>
      <w:r w:rsidRPr="001120B5">
        <w:rPr>
          <w:rFonts w:ascii="Calibri" w:hAnsi="Calibri"/>
          <w:color w:val="00558C"/>
        </w:rPr>
        <w:t>Technologies to support Maritime Single Window</w:t>
      </w:r>
      <w:r w:rsidR="00E17F03" w:rsidRPr="001120B5">
        <w:rPr>
          <w:rFonts w:ascii="Calibri" w:hAnsi="Calibri"/>
          <w:color w:val="00558C"/>
        </w:rPr>
        <w:t>.</w:t>
      </w:r>
    </w:p>
    <w:p w14:paraId="2010D9AF" w14:textId="77777777" w:rsidR="0064435F" w:rsidRPr="001120B5" w:rsidRDefault="0064435F" w:rsidP="00E66034">
      <w:pPr>
        <w:pStyle w:val="Heading1"/>
      </w:pPr>
      <w:r w:rsidRPr="001120B5">
        <w:t>Introduction</w:t>
      </w:r>
    </w:p>
    <w:p w14:paraId="4399A0DA" w14:textId="7201C6D4" w:rsidR="00432982" w:rsidRPr="001120B5" w:rsidRDefault="00220FF8" w:rsidP="00220FF8">
      <w:pPr>
        <w:pStyle w:val="BodyText"/>
      </w:pPr>
      <w:r>
        <w:t xml:space="preserve">This Liaison Note is a response to the Liaison Note </w:t>
      </w:r>
      <w:r w:rsidR="00163AFC">
        <w:t>adressed to the ARM Committee by</w:t>
      </w:r>
      <w:r>
        <w:t xml:space="preserve"> the ENAV Committee r</w:t>
      </w:r>
      <w:r w:rsidR="00163AFC">
        <w:t>e</w:t>
      </w:r>
      <w:r>
        <w:t xml:space="preserve">garding Technologies to Support Maritime Single Window (see attached </w:t>
      </w:r>
      <w:r w:rsidR="00186F01">
        <w:t>ARM15-8.5.1)</w:t>
      </w:r>
    </w:p>
    <w:p w14:paraId="40F9F5BB" w14:textId="5E1ABFA6" w:rsidR="00220FF8" w:rsidRDefault="00603D2E" w:rsidP="006779C7">
      <w:pPr>
        <w:pStyle w:val="BodyText"/>
      </w:pPr>
      <w:r>
        <w:t xml:space="preserve">The </w:t>
      </w:r>
      <w:r w:rsidR="00220FF8">
        <w:t>ARM Committee, Work Group 2, Ship Reporting Task Group reviewed the issues raised in the ENAV Liaison Note.</w:t>
      </w:r>
    </w:p>
    <w:p w14:paraId="6648E1D7" w14:textId="11169E66" w:rsidR="00D16AAE" w:rsidRDefault="00E6545A" w:rsidP="00E66034">
      <w:pPr>
        <w:pStyle w:val="Heading1"/>
      </w:pPr>
      <w:r>
        <w:t xml:space="preserve">Discussion </w:t>
      </w:r>
    </w:p>
    <w:p w14:paraId="477BC395" w14:textId="088F327F" w:rsidR="00E6545A" w:rsidRDefault="00401D1F" w:rsidP="00E6545A">
      <w:pPr>
        <w:pStyle w:val="BodyText"/>
      </w:pPr>
      <w:r>
        <w:t>The ARM Committee</w:t>
      </w:r>
      <w:r w:rsidR="00DA4C5D">
        <w:t xml:space="preserve"> offers responses to the actions requested as follows:</w:t>
      </w:r>
    </w:p>
    <w:p w14:paraId="157DF552" w14:textId="77777777" w:rsidR="00163AFC" w:rsidRPr="00B63C8D" w:rsidRDefault="00163AFC" w:rsidP="00163AFC">
      <w:pPr>
        <w:pStyle w:val="List1"/>
        <w:rPr>
          <w:rFonts w:asciiTheme="minorHAnsi" w:hAnsiTheme="minorHAnsi" w:cstheme="minorHAnsi"/>
          <w:lang w:val="en-GB"/>
        </w:rPr>
      </w:pPr>
      <w:r w:rsidRPr="00B63C8D">
        <w:rPr>
          <w:rFonts w:asciiTheme="minorHAnsi" w:hAnsiTheme="minorHAnsi" w:cstheme="minorHAnsi"/>
          <w:lang w:val="en-GB"/>
        </w:rPr>
        <w:t xml:space="preserve">Where does this document fit within the framework of the outcome of FAL45 and the revision to FAL.5/Circ.42/Rev.1 on Guidelines for </w:t>
      </w:r>
      <w:r w:rsidRPr="00ED1CAA">
        <w:rPr>
          <w:rFonts w:asciiTheme="minorHAnsi" w:hAnsiTheme="minorHAnsi" w:cstheme="minorHAnsi"/>
          <w:lang w:val="en-US"/>
        </w:rPr>
        <w:t>setting</w:t>
      </w:r>
      <w:r w:rsidRPr="00B63C8D">
        <w:rPr>
          <w:rFonts w:asciiTheme="minorHAnsi" w:hAnsiTheme="minorHAnsi" w:cstheme="minorHAnsi"/>
          <w:lang w:val="en-GB"/>
        </w:rPr>
        <w:t xml:space="preserve"> up a Maritime Single Window?</w:t>
      </w:r>
    </w:p>
    <w:p w14:paraId="1C38F739" w14:textId="2CEEC211" w:rsidR="00163AFC" w:rsidRDefault="00401D1F" w:rsidP="00163AFC">
      <w:pPr>
        <w:pStyle w:val="List1"/>
        <w:numPr>
          <w:ilvl w:val="0"/>
          <w:numId w:val="0"/>
        </w:numPr>
        <w:ind w:left="567" w:hanging="567"/>
        <w:jc w:val="left"/>
        <w:rPr>
          <w:noProof w:val="0"/>
          <w:lang w:val="en-US"/>
        </w:rPr>
      </w:pPr>
      <w:r w:rsidRPr="00B63C8D">
        <w:rPr>
          <w:rFonts w:asciiTheme="minorHAnsi" w:hAnsiTheme="minorHAnsi" w:cstheme="minorHAnsi"/>
          <w:lang w:val="en-GB"/>
        </w:rPr>
        <w:t>ARM</w:t>
      </w:r>
      <w:r w:rsidR="00163AFC" w:rsidRPr="00B63C8D">
        <w:rPr>
          <w:rFonts w:asciiTheme="minorHAnsi" w:hAnsiTheme="minorHAnsi" w:cstheme="minorHAnsi"/>
          <w:lang w:val="en-GB"/>
        </w:rPr>
        <w:t xml:space="preserve">: </w:t>
      </w:r>
      <w:r w:rsidR="00163AFC" w:rsidRPr="009626F5">
        <w:rPr>
          <w:rFonts w:asciiTheme="minorHAnsi" w:hAnsiTheme="minorHAnsi" w:cstheme="minorHAnsi"/>
          <w:noProof w:val="0"/>
          <w:lang w:val="en-US"/>
        </w:rPr>
        <w:t xml:space="preserve">The Guideline on Ship Reporting from a Shore-based Perspective (G1159) </w:t>
      </w:r>
      <w:r w:rsidR="00163AFC">
        <w:rPr>
          <w:rFonts w:asciiTheme="minorHAnsi" w:hAnsiTheme="minorHAnsi" w:cstheme="minorHAnsi"/>
          <w:noProof w:val="0"/>
          <w:lang w:val="en-US"/>
        </w:rPr>
        <w:t>in its description of a “Fully Digital Harmonized System for Ship Reporting”</w:t>
      </w:r>
      <w:r w:rsidR="00163AFC" w:rsidRPr="009626F5">
        <w:rPr>
          <w:rFonts w:asciiTheme="minorHAnsi" w:hAnsiTheme="minorHAnsi" w:cstheme="minorHAnsi"/>
          <w:noProof w:val="0"/>
          <w:lang w:val="en-US"/>
        </w:rPr>
        <w:t xml:space="preserve"> supports </w:t>
      </w:r>
      <w:r w:rsidR="00163AFC" w:rsidRPr="009626F5">
        <w:rPr>
          <w:noProof w:val="0"/>
          <w:lang w:val="en-US"/>
        </w:rPr>
        <w:t xml:space="preserve">FAL.5/Circ.42/Rev.1. It is expected that several IMO Technical Cooperation Projects will address technical and financial barriers </w:t>
      </w:r>
      <w:r w:rsidR="00163AFC">
        <w:rPr>
          <w:noProof w:val="0"/>
          <w:lang w:val="en-US"/>
        </w:rPr>
        <w:t>that</w:t>
      </w:r>
      <w:r w:rsidR="00163AFC" w:rsidRPr="009626F5">
        <w:rPr>
          <w:noProof w:val="0"/>
          <w:lang w:val="en-US"/>
        </w:rPr>
        <w:t xml:space="preserve"> countries </w:t>
      </w:r>
      <w:r w:rsidR="00163AFC">
        <w:rPr>
          <w:noProof w:val="0"/>
          <w:lang w:val="en-US"/>
        </w:rPr>
        <w:t>face when they</w:t>
      </w:r>
      <w:r w:rsidR="00163AFC" w:rsidRPr="009626F5">
        <w:rPr>
          <w:noProof w:val="0"/>
          <w:lang w:val="en-US"/>
        </w:rPr>
        <w:t xml:space="preserve"> are planning to implement an MSW.</w:t>
      </w:r>
      <w:r w:rsidR="00163AFC">
        <w:rPr>
          <w:noProof w:val="0"/>
          <w:lang w:val="en-US"/>
        </w:rPr>
        <w:t xml:space="preserve"> </w:t>
      </w:r>
    </w:p>
    <w:p w14:paraId="50711488" w14:textId="77777777" w:rsidR="00163AFC" w:rsidRDefault="00163AFC" w:rsidP="00163AFC">
      <w:pPr>
        <w:pStyle w:val="List1"/>
        <w:numPr>
          <w:ilvl w:val="0"/>
          <w:numId w:val="0"/>
        </w:numPr>
        <w:ind w:left="540"/>
        <w:jc w:val="left"/>
        <w:rPr>
          <w:noProof w:val="0"/>
          <w:lang w:val="en-US"/>
        </w:rPr>
      </w:pPr>
      <w:r>
        <w:rPr>
          <w:noProof w:val="0"/>
          <w:lang w:val="en-US"/>
        </w:rPr>
        <w:t>G1159 also spells out an alternative to implementing a MSW (</w:t>
      </w:r>
      <w:proofErr w:type="gramStart"/>
      <w:r>
        <w:rPr>
          <w:noProof w:val="0"/>
          <w:lang w:val="en-US"/>
        </w:rPr>
        <w:t>i.e.</w:t>
      </w:r>
      <w:proofErr w:type="gramEnd"/>
      <w:r>
        <w:rPr>
          <w:noProof w:val="0"/>
          <w:lang w:val="en-US"/>
        </w:rPr>
        <w:t xml:space="preserve"> the “Intermediary System for Ship Reporting”) that will enable automated ship reporting. This alternative would allow countries that implement the Intermediary System for Ship Reporting to support automated ship reporting without having to implement a full MSW.</w:t>
      </w:r>
    </w:p>
    <w:p w14:paraId="749A2B86" w14:textId="600C9874" w:rsidR="00163AFC" w:rsidRPr="00B63C8D" w:rsidRDefault="00163AFC" w:rsidP="00401D1F">
      <w:pPr>
        <w:pStyle w:val="List1"/>
        <w:numPr>
          <w:ilvl w:val="0"/>
          <w:numId w:val="0"/>
        </w:numPr>
        <w:ind w:left="540"/>
        <w:jc w:val="left"/>
        <w:rPr>
          <w:lang w:val="en-GB"/>
        </w:rPr>
      </w:pPr>
      <w:r>
        <w:rPr>
          <w:noProof w:val="0"/>
          <w:lang w:val="en-US"/>
        </w:rPr>
        <w:t xml:space="preserve">This alternative to a MSW was invalidated by </w:t>
      </w:r>
      <w:r w:rsidRPr="00B63C8D">
        <w:rPr>
          <w:lang w:val="en-GB"/>
        </w:rPr>
        <w:t xml:space="preserve">amendments to the annex of the FAL Convention. </w:t>
      </w:r>
    </w:p>
    <w:p w14:paraId="5984B8D3" w14:textId="77777777" w:rsidR="00163AFC" w:rsidRPr="00B63C8D" w:rsidRDefault="00163AFC" w:rsidP="00163AFC">
      <w:pPr>
        <w:pStyle w:val="List1"/>
        <w:rPr>
          <w:rFonts w:asciiTheme="minorHAnsi" w:hAnsiTheme="minorHAnsi" w:cstheme="minorHAnsi"/>
          <w:lang w:val="en-GB"/>
        </w:rPr>
      </w:pPr>
      <w:r w:rsidRPr="00B63C8D">
        <w:rPr>
          <w:rFonts w:asciiTheme="minorHAnsi" w:hAnsiTheme="minorHAnsi" w:cstheme="minorHAnsi"/>
          <w:lang w:val="en-GB"/>
        </w:rPr>
        <w:t>How is the work on G1159 being coordinated with the work being done by other organisations as noted in this liaison note?</w:t>
      </w:r>
    </w:p>
    <w:p w14:paraId="53B36E50" w14:textId="7E266921" w:rsidR="00163AFC" w:rsidRDefault="00401D1F" w:rsidP="00163AFC">
      <w:pPr>
        <w:pStyle w:val="BodyText"/>
        <w:spacing w:after="0"/>
        <w:ind w:left="540" w:hanging="630"/>
        <w:jc w:val="left"/>
      </w:pPr>
      <w:r>
        <w:rPr>
          <w:rFonts w:asciiTheme="minorHAnsi" w:hAnsiTheme="minorHAnsi" w:cstheme="minorHAnsi"/>
        </w:rPr>
        <w:t>ARM</w:t>
      </w:r>
      <w:r w:rsidR="00163AFC">
        <w:rPr>
          <w:rFonts w:asciiTheme="minorHAnsi" w:hAnsiTheme="minorHAnsi" w:cstheme="minorHAnsi"/>
        </w:rPr>
        <w:t xml:space="preserve">: </w:t>
      </w:r>
      <w:r w:rsidR="00163AFC">
        <w:rPr>
          <w:rFonts w:asciiTheme="minorHAnsi" w:hAnsiTheme="minorHAnsi" w:cstheme="minorHAnsi"/>
        </w:rPr>
        <w:tab/>
        <w:t xml:space="preserve">The work being done by other organizations mainly focuses on definition of data structures and data elements. G1159 does not specify data structures or data elements. Rather it refers to the IMO Compendium. The </w:t>
      </w:r>
      <w:r w:rsidR="00163AFC" w:rsidRPr="008C5CEB">
        <w:t>IMO compendium consists of a data set, a reference model, and mapping to three main standards maintained by the following organizations:</w:t>
      </w:r>
    </w:p>
    <w:p w14:paraId="259BCFFA" w14:textId="77777777" w:rsidR="00163AFC" w:rsidRDefault="00163AFC" w:rsidP="00163AFC">
      <w:pPr>
        <w:pStyle w:val="Bullet1"/>
        <w:numPr>
          <w:ilvl w:val="0"/>
          <w:numId w:val="38"/>
        </w:numPr>
        <w:tabs>
          <w:tab w:val="clear" w:pos="1134"/>
        </w:tabs>
        <w:spacing w:after="0" w:line="216" w:lineRule="atLeast"/>
        <w:ind w:left="992" w:hanging="425"/>
        <w:jc w:val="left"/>
        <w:outlineLvl w:val="9"/>
      </w:pPr>
      <w:r>
        <w:t xml:space="preserve">World Customs Organization (WCO) </w:t>
      </w:r>
    </w:p>
    <w:p w14:paraId="65866649" w14:textId="77777777" w:rsidR="00163AFC" w:rsidRDefault="00163AFC" w:rsidP="00163AFC">
      <w:pPr>
        <w:pStyle w:val="Bullet1"/>
        <w:numPr>
          <w:ilvl w:val="0"/>
          <w:numId w:val="38"/>
        </w:numPr>
        <w:tabs>
          <w:tab w:val="clear" w:pos="1134"/>
        </w:tabs>
        <w:spacing w:after="0" w:line="216" w:lineRule="atLeast"/>
        <w:ind w:left="992" w:hanging="425"/>
        <w:jc w:val="left"/>
        <w:outlineLvl w:val="9"/>
      </w:pPr>
      <w:r>
        <w:t xml:space="preserve">United Nations Economic Commission for Europe (UNECE) </w:t>
      </w:r>
    </w:p>
    <w:p w14:paraId="700EEEC2" w14:textId="77777777" w:rsidR="00163AFC" w:rsidRDefault="00163AFC" w:rsidP="00163AFC">
      <w:pPr>
        <w:pStyle w:val="Bullet1"/>
        <w:numPr>
          <w:ilvl w:val="0"/>
          <w:numId w:val="38"/>
        </w:numPr>
        <w:tabs>
          <w:tab w:val="clear" w:pos="1134"/>
        </w:tabs>
        <w:spacing w:after="0" w:line="216" w:lineRule="atLeast"/>
        <w:ind w:left="992" w:hanging="425"/>
        <w:jc w:val="left"/>
        <w:outlineLvl w:val="9"/>
      </w:pPr>
      <w:r>
        <w:t>International Standards Organization (ISO)</w:t>
      </w:r>
    </w:p>
    <w:p w14:paraId="07EA8C6E" w14:textId="77777777" w:rsidR="00163AFC" w:rsidRPr="00D66087" w:rsidRDefault="00163AFC" w:rsidP="00163AFC">
      <w:pPr>
        <w:pStyle w:val="List1"/>
        <w:numPr>
          <w:ilvl w:val="0"/>
          <w:numId w:val="0"/>
        </w:numPr>
        <w:rPr>
          <w:rFonts w:asciiTheme="minorHAnsi" w:hAnsiTheme="minorHAnsi" w:cstheme="minorHAnsi"/>
        </w:rPr>
      </w:pPr>
    </w:p>
    <w:p w14:paraId="4C1A067E" w14:textId="77777777" w:rsidR="00163AFC" w:rsidRPr="00B63C8D" w:rsidRDefault="00163AFC" w:rsidP="00163AFC">
      <w:pPr>
        <w:pStyle w:val="List1"/>
        <w:rPr>
          <w:lang w:val="en-GB"/>
        </w:rPr>
      </w:pPr>
      <w:r w:rsidRPr="00B63C8D">
        <w:rPr>
          <w:rFonts w:asciiTheme="minorHAnsi" w:hAnsiTheme="minorHAnsi" w:cstheme="minorHAnsi"/>
          <w:lang w:val="en-GB"/>
        </w:rPr>
        <w:t>What data is expected to be required, and where (as this will have an impact on the suitable technology).  i.e. for many elements identified in the FAL.5/Circ.42/Rev.1 data will be from shore entity to shore entity.</w:t>
      </w:r>
      <w:r w:rsidRPr="00B63C8D">
        <w:rPr>
          <w:lang w:val="en-GB"/>
        </w:rPr>
        <w:t xml:space="preserve">  The focus of the work of the ENAV Committee task would be on the data required from ship/shore and shore/ship.</w:t>
      </w:r>
    </w:p>
    <w:p w14:paraId="1D77E1E6" w14:textId="0F2B2067" w:rsidR="00163AFC" w:rsidRDefault="00401D1F" w:rsidP="00163AFC">
      <w:pPr>
        <w:pStyle w:val="List1"/>
        <w:numPr>
          <w:ilvl w:val="0"/>
          <w:numId w:val="0"/>
        </w:numPr>
        <w:tabs>
          <w:tab w:val="left" w:pos="540"/>
        </w:tabs>
        <w:ind w:left="540" w:hanging="540"/>
        <w:jc w:val="left"/>
      </w:pPr>
      <w:r w:rsidRPr="00B63C8D">
        <w:rPr>
          <w:rFonts w:asciiTheme="minorHAnsi" w:hAnsiTheme="minorHAnsi" w:cstheme="minorHAnsi"/>
          <w:lang w:val="en-GB"/>
        </w:rPr>
        <w:lastRenderedPageBreak/>
        <w:t>ARM</w:t>
      </w:r>
      <w:r w:rsidR="00163AFC" w:rsidRPr="00B63C8D">
        <w:rPr>
          <w:rFonts w:asciiTheme="minorHAnsi" w:hAnsiTheme="minorHAnsi" w:cstheme="minorHAnsi"/>
          <w:lang w:val="en-GB"/>
        </w:rPr>
        <w:t> :</w:t>
      </w:r>
      <w:r w:rsidR="00163AFC" w:rsidRPr="00B63C8D">
        <w:rPr>
          <w:lang w:val="en-GB"/>
        </w:rPr>
        <w:t xml:space="preserve">The Guideline on Ship Reporting from a Shore-based Perspective (G1159), in its description of the Fully Digital Harmonized System for Ship Reporting, envisions information exchanges between ship and shore using an (IP-based) web service (SOAP or REST) that exchanges XML or JSON formatted files. </w:t>
      </w:r>
      <w:r w:rsidR="00163AFC">
        <w:t>For a portcall, this involves :</w:t>
      </w:r>
    </w:p>
    <w:p w14:paraId="1B21EB08" w14:textId="77777777" w:rsidR="00163AFC" w:rsidRPr="00B63C8D" w:rsidRDefault="00163AFC" w:rsidP="00DC1C8C">
      <w:pPr>
        <w:pStyle w:val="List1"/>
        <w:numPr>
          <w:ilvl w:val="0"/>
          <w:numId w:val="39"/>
        </w:numPr>
        <w:spacing w:after="0"/>
        <w:ind w:left="900"/>
        <w:rPr>
          <w:lang w:val="en-GB"/>
        </w:rPr>
      </w:pPr>
      <w:r w:rsidRPr="00B63C8D">
        <w:rPr>
          <w:lang w:val="en-GB"/>
        </w:rPr>
        <w:t>Transmission of a port entry request from ship to shore</w:t>
      </w:r>
    </w:p>
    <w:p w14:paraId="7F424767" w14:textId="77777777" w:rsidR="00163AFC" w:rsidRDefault="00163AFC" w:rsidP="00DC1C8C">
      <w:pPr>
        <w:pStyle w:val="List1"/>
        <w:numPr>
          <w:ilvl w:val="1"/>
          <w:numId w:val="39"/>
        </w:numPr>
        <w:spacing w:after="0"/>
        <w:ind w:left="1350"/>
      </w:pPr>
      <w:r>
        <w:t>Ship Partculars</w:t>
      </w:r>
    </w:p>
    <w:p w14:paraId="2CBA2EC8" w14:textId="77777777" w:rsidR="00163AFC" w:rsidRDefault="00163AFC" w:rsidP="00DC1C8C">
      <w:pPr>
        <w:pStyle w:val="List1"/>
        <w:numPr>
          <w:ilvl w:val="1"/>
          <w:numId w:val="39"/>
        </w:numPr>
        <w:spacing w:after="0"/>
        <w:ind w:left="1350"/>
      </w:pPr>
      <w:r>
        <w:t>High Level Cargo particulars</w:t>
      </w:r>
    </w:p>
    <w:p w14:paraId="7DA18BF0" w14:textId="07AAA51B" w:rsidR="00163AFC" w:rsidRDefault="00163AFC" w:rsidP="00DC1C8C">
      <w:pPr>
        <w:pStyle w:val="List1"/>
        <w:numPr>
          <w:ilvl w:val="1"/>
          <w:numId w:val="39"/>
        </w:numPr>
        <w:spacing w:after="0"/>
        <w:ind w:left="1350"/>
      </w:pPr>
      <w:r>
        <w:t>Voyage Plan Details</w:t>
      </w:r>
    </w:p>
    <w:p w14:paraId="39827BDC" w14:textId="77777777" w:rsidR="00163AFC" w:rsidRDefault="00163AFC" w:rsidP="00DC1C8C">
      <w:pPr>
        <w:pStyle w:val="List1"/>
        <w:numPr>
          <w:ilvl w:val="0"/>
          <w:numId w:val="0"/>
        </w:numPr>
        <w:spacing w:after="0"/>
        <w:ind w:left="1350"/>
      </w:pPr>
    </w:p>
    <w:p w14:paraId="5DD6828F" w14:textId="0EEDE33C" w:rsidR="00163AFC" w:rsidRPr="00B63C8D" w:rsidRDefault="00163AFC" w:rsidP="00DC1C8C">
      <w:pPr>
        <w:pStyle w:val="List1"/>
        <w:numPr>
          <w:ilvl w:val="0"/>
          <w:numId w:val="39"/>
        </w:numPr>
        <w:ind w:left="900"/>
        <w:jc w:val="left"/>
        <w:rPr>
          <w:lang w:val="en-GB"/>
        </w:rPr>
      </w:pPr>
      <w:r w:rsidRPr="00B63C8D">
        <w:rPr>
          <w:lang w:val="en-GB"/>
        </w:rPr>
        <w:t xml:space="preserve">Transmission of references to required </w:t>
      </w:r>
      <w:r w:rsidR="00EF78D5" w:rsidRPr="00B63C8D">
        <w:rPr>
          <w:lang w:val="en-GB"/>
        </w:rPr>
        <w:t>data elements from shore to ship</w:t>
      </w:r>
      <w:r w:rsidR="00186F01" w:rsidRPr="00B63C8D">
        <w:rPr>
          <w:lang w:val="en-GB"/>
        </w:rPr>
        <w:t xml:space="preserve">. These </w:t>
      </w:r>
      <w:r w:rsidRPr="00B63C8D">
        <w:rPr>
          <w:lang w:val="en-GB"/>
        </w:rPr>
        <w:t>refer to the data structures and data elements that are defined in the IMO Compendium</w:t>
      </w:r>
      <w:r w:rsidR="000A411B" w:rsidRPr="00B63C8D">
        <w:rPr>
          <w:lang w:val="en-GB"/>
        </w:rPr>
        <w:t xml:space="preserve"> and </w:t>
      </w:r>
      <w:r w:rsidR="00DC1C8C" w:rsidRPr="00B63C8D">
        <w:rPr>
          <w:lang w:val="en-GB"/>
        </w:rPr>
        <w:t>additional data elements that are required by individual countries/ports</w:t>
      </w:r>
      <w:r w:rsidR="00186F01" w:rsidRPr="00B63C8D">
        <w:rPr>
          <w:lang w:val="en-GB"/>
        </w:rPr>
        <w:t xml:space="preserve"> (for instance </w:t>
      </w:r>
      <w:r w:rsidR="000B4F37" w:rsidRPr="00B63C8D">
        <w:rPr>
          <w:lang w:val="en-GB"/>
        </w:rPr>
        <w:t xml:space="preserve">unique reporting elements </w:t>
      </w:r>
      <w:r w:rsidR="00036C62" w:rsidRPr="00B63C8D">
        <w:rPr>
          <w:lang w:val="en-GB"/>
        </w:rPr>
        <w:t xml:space="preserve">that are </w:t>
      </w:r>
      <w:r w:rsidR="000B4F37" w:rsidRPr="00B63C8D">
        <w:rPr>
          <w:lang w:val="en-GB"/>
        </w:rPr>
        <w:t>required by singl</w:t>
      </w:r>
      <w:r w:rsidR="00036C62" w:rsidRPr="00B63C8D">
        <w:rPr>
          <w:lang w:val="en-GB"/>
        </w:rPr>
        <w:t>e E</w:t>
      </w:r>
      <w:r w:rsidR="000B4F37" w:rsidRPr="00B63C8D">
        <w:rPr>
          <w:lang w:val="en-GB"/>
        </w:rPr>
        <w:t xml:space="preserve">U Member States </w:t>
      </w:r>
      <w:r w:rsidR="00186F01" w:rsidRPr="00B63C8D">
        <w:rPr>
          <w:lang w:val="en-GB"/>
        </w:rPr>
        <w:t xml:space="preserve">noted in </w:t>
      </w:r>
      <w:r w:rsidR="000B4F37" w:rsidRPr="00B63C8D">
        <w:rPr>
          <w:lang w:val="en-GB"/>
        </w:rPr>
        <w:t>Part</w:t>
      </w:r>
      <w:r w:rsidR="00186F01" w:rsidRPr="00B63C8D">
        <w:rPr>
          <w:lang w:val="en-GB"/>
        </w:rPr>
        <w:t xml:space="preserve"> C </w:t>
      </w:r>
      <w:r w:rsidR="00036C62" w:rsidRPr="00B63C8D">
        <w:rPr>
          <w:lang w:val="en-GB"/>
        </w:rPr>
        <w:t xml:space="preserve">in the context of the EMSWe </w:t>
      </w:r>
      <w:r w:rsidR="004D24E3" w:rsidRPr="00B63C8D">
        <w:rPr>
          <w:lang w:val="en-GB"/>
        </w:rPr>
        <w:t>Regulation (EU) 2019/1239 that set</w:t>
      </w:r>
      <w:r w:rsidR="000C407F" w:rsidRPr="00B63C8D">
        <w:rPr>
          <w:lang w:val="en-GB"/>
        </w:rPr>
        <w:t>s</w:t>
      </w:r>
      <w:r w:rsidR="004D24E3" w:rsidRPr="00B63C8D">
        <w:rPr>
          <w:lang w:val="en-GB"/>
        </w:rPr>
        <w:t xml:space="preserve"> the technical and legal framework for the electronic transmission of information about the reporting obligations for ships calling at EU ports).</w:t>
      </w:r>
    </w:p>
    <w:p w14:paraId="095B8769" w14:textId="77777777" w:rsidR="00163AFC" w:rsidRPr="00B63C8D" w:rsidRDefault="00163AFC" w:rsidP="00DC1C8C">
      <w:pPr>
        <w:pStyle w:val="List1"/>
        <w:numPr>
          <w:ilvl w:val="0"/>
          <w:numId w:val="39"/>
        </w:numPr>
        <w:ind w:left="900"/>
        <w:rPr>
          <w:lang w:val="en-GB"/>
        </w:rPr>
      </w:pPr>
      <w:r w:rsidRPr="00B63C8D">
        <w:rPr>
          <w:lang w:val="en-GB"/>
        </w:rPr>
        <w:t>Transmission of the values of the required data elements from ship to shore along with updates of previously transmitted data values.</w:t>
      </w:r>
    </w:p>
    <w:p w14:paraId="17668A5C" w14:textId="77777777" w:rsidR="00163AFC" w:rsidRPr="00B63C8D" w:rsidRDefault="00163AFC" w:rsidP="00163AFC">
      <w:pPr>
        <w:pStyle w:val="List1"/>
        <w:numPr>
          <w:ilvl w:val="0"/>
          <w:numId w:val="0"/>
        </w:numPr>
        <w:jc w:val="left"/>
        <w:rPr>
          <w:lang w:val="en-GB"/>
        </w:rPr>
      </w:pPr>
      <w:r w:rsidRPr="00B63C8D">
        <w:rPr>
          <w:lang w:val="en-GB"/>
        </w:rPr>
        <w:t>The bandwidth required for these information exchanges is expected to be relatively modest even with the overhead associated with making information exchanges secure.</w:t>
      </w:r>
    </w:p>
    <w:p w14:paraId="53D69C46" w14:textId="77777777" w:rsidR="00163AFC" w:rsidRPr="00E6545A" w:rsidRDefault="00163AFC" w:rsidP="00163AFC">
      <w:pPr>
        <w:pStyle w:val="List1"/>
        <w:numPr>
          <w:ilvl w:val="0"/>
          <w:numId w:val="0"/>
        </w:numPr>
        <w:jc w:val="left"/>
      </w:pPr>
      <w:r w:rsidRPr="00B63C8D">
        <w:rPr>
          <w:lang w:val="en-GB"/>
        </w:rPr>
        <w:t xml:space="preserve">G1159 covers ship reporting from a shore-based perspective. Shore-based entities are expected to have IP connectivity with more than sufficient bandwidth to support message exchanges with ships. </w:t>
      </w:r>
      <w:r>
        <w:t>G1159 does not address IP Connectivity for ships.</w:t>
      </w:r>
    </w:p>
    <w:p w14:paraId="415B1A44" w14:textId="77777777" w:rsidR="00DA4C5D" w:rsidRPr="00B63C8D" w:rsidRDefault="00DA4C5D" w:rsidP="00163AFC">
      <w:pPr>
        <w:pStyle w:val="List1"/>
        <w:rPr>
          <w:lang w:val="en-GB"/>
        </w:rPr>
      </w:pPr>
      <w:r w:rsidRPr="00B63C8D">
        <w:rPr>
          <w:lang w:val="en-GB"/>
        </w:rPr>
        <w:t>Consider the most appropriate manner to be engaged with the related work at the ISO group ISO/TC 8/SC 11 (for example, through a rapporteur or with direct IALA participation in the same manner as similar organisation)</w:t>
      </w:r>
    </w:p>
    <w:p w14:paraId="5F0B77E5" w14:textId="1EB02D18" w:rsidR="00DA4C5D" w:rsidRDefault="00401D1F" w:rsidP="00DA4C5D">
      <w:pPr>
        <w:pStyle w:val="BodyText"/>
        <w:spacing w:after="0"/>
        <w:ind w:left="540" w:hanging="630"/>
        <w:jc w:val="left"/>
      </w:pPr>
      <w:r>
        <w:rPr>
          <w:lang w:val="en-GB"/>
        </w:rPr>
        <w:t>ARM</w:t>
      </w:r>
      <w:r w:rsidR="00DA4C5D">
        <w:rPr>
          <w:lang w:val="en-GB"/>
        </w:rPr>
        <w:t xml:space="preserve">: </w:t>
      </w:r>
      <w:r w:rsidR="00DA4C5D">
        <w:rPr>
          <w:lang w:val="en-GB"/>
        </w:rPr>
        <w:tab/>
      </w:r>
      <w:r w:rsidR="00DA4C5D">
        <w:t xml:space="preserve">The Guideline on Ship Reporting from a Shore-based Perspective notes the </w:t>
      </w:r>
      <w:r w:rsidR="00DA4C5D" w:rsidRPr="000C01A2">
        <w:t>requir</w:t>
      </w:r>
      <w:r w:rsidR="00DA4C5D">
        <w:t>ement for</w:t>
      </w:r>
      <w:r w:rsidR="00DA4C5D" w:rsidRPr="000C01A2">
        <w:t xml:space="preserve"> </w:t>
      </w:r>
      <w:r w:rsidR="00DA4C5D">
        <w:t xml:space="preserve">shore-based stakeholders </w:t>
      </w:r>
      <w:r w:rsidR="00DA4C5D" w:rsidRPr="000C01A2">
        <w:t>to</w:t>
      </w:r>
      <w:r w:rsidR="00DA4C5D">
        <w:t xml:space="preserve"> harmonize the definition of the data elements of their required reports with the definitions, formats and code lists of data elements published in the </w:t>
      </w:r>
      <w:hyperlink r:id="rId11" w:history="1">
        <w:r w:rsidR="00DA4C5D" w:rsidRPr="00E15327">
          <w:rPr>
            <w:rStyle w:val="Hyperlink"/>
            <w:i/>
            <w:iCs/>
          </w:rPr>
          <w:t>IMO Compendium on Facilitation and Electronic Business</w:t>
        </w:r>
      </w:hyperlink>
      <w:r w:rsidR="00DA4C5D">
        <w:t>.</w:t>
      </w:r>
    </w:p>
    <w:p w14:paraId="56037A2F" w14:textId="77777777" w:rsidR="00DA4C5D" w:rsidRDefault="00DA4C5D" w:rsidP="00DA4C5D">
      <w:pPr>
        <w:pStyle w:val="BodyText"/>
        <w:spacing w:after="0"/>
        <w:ind w:left="540" w:hanging="630"/>
        <w:jc w:val="left"/>
      </w:pPr>
    </w:p>
    <w:p w14:paraId="5E734FCA" w14:textId="77777777" w:rsidR="00DA4C5D" w:rsidRDefault="00DA4C5D" w:rsidP="00DA4C5D">
      <w:pPr>
        <w:pStyle w:val="BodyText"/>
        <w:spacing w:after="0"/>
        <w:ind w:left="540"/>
        <w:jc w:val="left"/>
      </w:pPr>
      <w:r>
        <w:rPr>
          <w:rFonts w:asciiTheme="minorHAnsi" w:hAnsiTheme="minorHAnsi" w:cstheme="minorHAnsi"/>
        </w:rPr>
        <w:t xml:space="preserve">The </w:t>
      </w:r>
      <w:r w:rsidRPr="008C5CEB">
        <w:t xml:space="preserve">IMO </w:t>
      </w:r>
      <w:r>
        <w:t>C</w:t>
      </w:r>
      <w:r w:rsidRPr="008C5CEB">
        <w:t>ompendium consists of a data set, a reference model, and mapping to three main standards maintained by the following organizations:</w:t>
      </w:r>
    </w:p>
    <w:p w14:paraId="08C8D5BF" w14:textId="77777777" w:rsidR="00DA4C5D" w:rsidRDefault="00DA4C5D" w:rsidP="00DA4C5D">
      <w:pPr>
        <w:pStyle w:val="Bullet1"/>
        <w:numPr>
          <w:ilvl w:val="0"/>
          <w:numId w:val="38"/>
        </w:numPr>
        <w:tabs>
          <w:tab w:val="clear" w:pos="1134"/>
        </w:tabs>
        <w:spacing w:after="0" w:line="216" w:lineRule="atLeast"/>
        <w:ind w:left="992" w:hanging="425"/>
        <w:jc w:val="left"/>
        <w:outlineLvl w:val="9"/>
      </w:pPr>
      <w:r>
        <w:t xml:space="preserve">World Customs Organization (WCO) </w:t>
      </w:r>
    </w:p>
    <w:p w14:paraId="1BBCC04E" w14:textId="77777777" w:rsidR="00DA4C5D" w:rsidRDefault="00DA4C5D" w:rsidP="00DA4C5D">
      <w:pPr>
        <w:pStyle w:val="Bullet1"/>
        <w:numPr>
          <w:ilvl w:val="0"/>
          <w:numId w:val="38"/>
        </w:numPr>
        <w:tabs>
          <w:tab w:val="clear" w:pos="1134"/>
        </w:tabs>
        <w:spacing w:after="0" w:line="216" w:lineRule="atLeast"/>
        <w:ind w:left="992" w:hanging="425"/>
        <w:jc w:val="left"/>
        <w:outlineLvl w:val="9"/>
      </w:pPr>
      <w:r>
        <w:t xml:space="preserve">United Nations Economic Commission for Europe (UNECE) </w:t>
      </w:r>
    </w:p>
    <w:p w14:paraId="332A217D" w14:textId="77777777" w:rsidR="00DA4C5D" w:rsidRDefault="00DA4C5D" w:rsidP="00DA4C5D">
      <w:pPr>
        <w:pStyle w:val="Bullet1"/>
        <w:numPr>
          <w:ilvl w:val="0"/>
          <w:numId w:val="38"/>
        </w:numPr>
        <w:tabs>
          <w:tab w:val="clear" w:pos="1134"/>
        </w:tabs>
        <w:spacing w:after="0" w:line="216" w:lineRule="atLeast"/>
        <w:ind w:left="992" w:hanging="425"/>
        <w:jc w:val="left"/>
        <w:outlineLvl w:val="9"/>
      </w:pPr>
      <w:r>
        <w:t>International Standards Organization (ISO)</w:t>
      </w:r>
    </w:p>
    <w:p w14:paraId="7253983E" w14:textId="77777777" w:rsidR="00DA4C5D" w:rsidRDefault="00DA4C5D" w:rsidP="00DA4C5D">
      <w:pPr>
        <w:pStyle w:val="BodyText"/>
        <w:spacing w:after="0"/>
        <w:ind w:left="540" w:hanging="630"/>
        <w:jc w:val="left"/>
      </w:pPr>
    </w:p>
    <w:p w14:paraId="0C046894" w14:textId="39E1A860" w:rsidR="00DA4C5D" w:rsidRPr="005E7DF2" w:rsidRDefault="00DA4C5D" w:rsidP="00DA4C5D">
      <w:pPr>
        <w:pStyle w:val="BodyText"/>
        <w:ind w:left="567"/>
        <w:jc w:val="left"/>
      </w:pPr>
      <w:r>
        <w:t xml:space="preserve">IALA </w:t>
      </w:r>
      <w:r w:rsidR="00091F9D">
        <w:t xml:space="preserve">is a participant in </w:t>
      </w:r>
      <w:r w:rsidR="00091F9D" w:rsidRPr="00EA4017">
        <w:t>ISO/TC 8/SC 11</w:t>
      </w:r>
      <w:r w:rsidR="00091F9D">
        <w:t xml:space="preserve"> as are Individual IALA Members. </w:t>
      </w:r>
      <w:r w:rsidR="00FD52DF">
        <w:t xml:space="preserve">However, </w:t>
      </w:r>
      <w:r w:rsidR="007B365D">
        <w:t xml:space="preserve">IALA </w:t>
      </w:r>
      <w:r w:rsidR="00FD52DF">
        <w:t>i</w:t>
      </w:r>
      <w:r>
        <w:t xml:space="preserve">nvolvement with </w:t>
      </w:r>
      <w:r w:rsidR="00091F9D">
        <w:t>WCO</w:t>
      </w:r>
      <w:r w:rsidR="00036C62">
        <w:t>’s</w:t>
      </w:r>
      <w:r w:rsidR="00091F9D">
        <w:t>, UNECE</w:t>
      </w:r>
      <w:r w:rsidR="00036C62">
        <w:t>’s</w:t>
      </w:r>
      <w:r w:rsidR="00091F9D">
        <w:t xml:space="preserve"> and ISO</w:t>
      </w:r>
      <w:r w:rsidR="00036C62">
        <w:t>’s</w:t>
      </w:r>
      <w:r>
        <w:t xml:space="preserve"> additions, deletions or changes of definitions of data structures and elements is not expected to materially improve the value of the guideline for shore-based stakeholders.</w:t>
      </w:r>
    </w:p>
    <w:p w14:paraId="202CB887" w14:textId="77777777" w:rsidR="00DA4C5D" w:rsidRDefault="00DA4C5D" w:rsidP="00DA4C5D">
      <w:pPr>
        <w:pStyle w:val="List1"/>
        <w:rPr>
          <w:lang w:val="en-GB"/>
        </w:rPr>
      </w:pPr>
      <w:r w:rsidRPr="00E6545A">
        <w:rPr>
          <w:lang w:val="en-GB"/>
        </w:rPr>
        <w:t>Obtain the ISO/CD 28005-1 document that deals with the MSW and share this with the IALA membership</w:t>
      </w:r>
      <w:r>
        <w:rPr>
          <w:lang w:val="en-GB"/>
        </w:rPr>
        <w:t xml:space="preserve"> to support coordination of the work on MSW.</w:t>
      </w:r>
    </w:p>
    <w:p w14:paraId="461AF4EF" w14:textId="033877A4" w:rsidR="00163AFC" w:rsidRDefault="00401D1F" w:rsidP="00DA4C5D">
      <w:pPr>
        <w:pStyle w:val="List1"/>
        <w:numPr>
          <w:ilvl w:val="0"/>
          <w:numId w:val="0"/>
        </w:numPr>
        <w:tabs>
          <w:tab w:val="left" w:pos="540"/>
        </w:tabs>
        <w:ind w:left="540" w:hanging="540"/>
        <w:jc w:val="left"/>
        <w:rPr>
          <w:lang w:val="en-GB"/>
        </w:rPr>
      </w:pPr>
      <w:r>
        <w:rPr>
          <w:lang w:val="en-GB"/>
        </w:rPr>
        <w:t>ARM</w:t>
      </w:r>
      <w:r w:rsidR="00DA4C5D">
        <w:rPr>
          <w:lang w:val="en-GB"/>
        </w:rPr>
        <w:t xml:space="preserve">: </w:t>
      </w:r>
      <w:r w:rsidR="00497833">
        <w:rPr>
          <w:lang w:val="en-GB"/>
        </w:rPr>
        <w:t xml:space="preserve">G1159 refers to </w:t>
      </w:r>
      <w:r w:rsidR="00163AFC">
        <w:rPr>
          <w:lang w:val="en-GB"/>
        </w:rPr>
        <w:t>IMO Compendium</w:t>
      </w:r>
      <w:r w:rsidR="00991484">
        <w:rPr>
          <w:lang w:val="en-GB"/>
        </w:rPr>
        <w:t xml:space="preserve">, which </w:t>
      </w:r>
      <w:r w:rsidR="00163AFC">
        <w:rPr>
          <w:lang w:val="en-GB"/>
        </w:rPr>
        <w:t>includes references to ISO/CD 28005</w:t>
      </w:r>
      <w:r w:rsidR="00497833">
        <w:rPr>
          <w:lang w:val="en-GB"/>
        </w:rPr>
        <w:t>-1</w:t>
      </w:r>
      <w:r w:rsidR="00FD52DF">
        <w:rPr>
          <w:lang w:val="en-GB"/>
        </w:rPr>
        <w:t>.</w:t>
      </w:r>
    </w:p>
    <w:p w14:paraId="6EAFE6CF" w14:textId="405FCE84" w:rsidR="00DA4C5D" w:rsidRPr="00E6545A" w:rsidRDefault="00163AFC" w:rsidP="00DA4C5D">
      <w:pPr>
        <w:pStyle w:val="List1"/>
        <w:numPr>
          <w:ilvl w:val="0"/>
          <w:numId w:val="0"/>
        </w:numPr>
        <w:tabs>
          <w:tab w:val="left" w:pos="540"/>
        </w:tabs>
        <w:ind w:left="540" w:hanging="540"/>
        <w:jc w:val="left"/>
        <w:rPr>
          <w:lang w:val="en-GB"/>
        </w:rPr>
      </w:pPr>
      <w:r>
        <w:rPr>
          <w:lang w:val="en-GB"/>
        </w:rPr>
        <w:lastRenderedPageBreak/>
        <w:tab/>
      </w:r>
      <w:r w:rsidR="00497833">
        <w:rPr>
          <w:lang w:val="en-GB"/>
        </w:rPr>
        <w:t xml:space="preserve">Also, </w:t>
      </w:r>
      <w:r w:rsidR="00DA4C5D">
        <w:rPr>
          <w:lang w:val="en-GB"/>
        </w:rPr>
        <w:t xml:space="preserve">IMO FAL has published a guideline for setting up a maritime single widow (see </w:t>
      </w:r>
      <w:hyperlink r:id="rId12" w:history="1">
        <w:r w:rsidR="00DA4C5D" w:rsidRPr="007925A1">
          <w:rPr>
            <w:rStyle w:val="Hyperlink"/>
            <w:lang w:val="en-GB"/>
          </w:rPr>
          <w:t>FAL.5/Circ.42/Rev.1</w:t>
        </w:r>
      </w:hyperlink>
      <w:r w:rsidR="00DA4C5D">
        <w:rPr>
          <w:lang w:val="en-GB"/>
        </w:rPr>
        <w:t>). IALA Members can use it to assist them with establishing a MSW. G1159 in section 4.2.1.2. “</w:t>
      </w:r>
      <w:r w:rsidR="00DA4C5D" w:rsidRPr="00B63C8D">
        <w:rPr>
          <w:lang w:val="en-GB"/>
        </w:rPr>
        <w:t>Establish National/Maritime Single Window (NSW/MSW</w:t>
      </w:r>
      <w:r w:rsidR="00DA4C5D">
        <w:rPr>
          <w:lang w:val="en-GB"/>
        </w:rPr>
        <w:t>) refers to an earlier version of this document. This reference will need to be updated.</w:t>
      </w:r>
    </w:p>
    <w:p w14:paraId="6D36963F" w14:textId="77777777" w:rsidR="00DA4C5D" w:rsidRDefault="00DA4C5D" w:rsidP="00DA4C5D">
      <w:pPr>
        <w:pStyle w:val="List1"/>
        <w:rPr>
          <w:lang w:val="en-GB"/>
        </w:rPr>
      </w:pPr>
      <w:r w:rsidRPr="00E6545A">
        <w:rPr>
          <w:lang w:val="en-GB"/>
        </w:rPr>
        <w:t xml:space="preserve">Obtain clarity on </w:t>
      </w:r>
      <w:r>
        <w:rPr>
          <w:lang w:val="en-GB"/>
        </w:rPr>
        <w:t>the activity surrounding MSW</w:t>
      </w:r>
      <w:r w:rsidRPr="00E6545A">
        <w:rPr>
          <w:lang w:val="en-GB"/>
        </w:rPr>
        <w:t xml:space="preserve"> </w:t>
      </w:r>
      <w:r>
        <w:rPr>
          <w:lang w:val="en-GB"/>
        </w:rPr>
        <w:t>and</w:t>
      </w:r>
      <w:r w:rsidRPr="00E6545A">
        <w:rPr>
          <w:lang w:val="en-GB"/>
        </w:rPr>
        <w:t xml:space="preserve"> document the interface between the Local Port Services (LPS) and Vessel Traffic Services (VTS) for those MSW components that affect these IALA domains</w:t>
      </w:r>
    </w:p>
    <w:p w14:paraId="7881DB40" w14:textId="393C44FE" w:rsidR="00D74429" w:rsidRDefault="00401D1F" w:rsidP="00D74429">
      <w:pPr>
        <w:pStyle w:val="List1"/>
        <w:numPr>
          <w:ilvl w:val="0"/>
          <w:numId w:val="0"/>
        </w:numPr>
        <w:ind w:left="540" w:hanging="630"/>
        <w:jc w:val="left"/>
        <w:rPr>
          <w:lang w:val="en-GB"/>
        </w:rPr>
      </w:pPr>
      <w:r>
        <w:rPr>
          <w:lang w:val="en-GB"/>
        </w:rPr>
        <w:t>ARM</w:t>
      </w:r>
      <w:r w:rsidR="00DA4C5D">
        <w:rPr>
          <w:lang w:val="en-GB"/>
        </w:rPr>
        <w:t xml:space="preserve">: MSW-based information exchange methodology between ship and shore-based entities envisions a (SOAP or REST) Webservice hosted by the Shore-based entity. </w:t>
      </w:r>
      <w:r w:rsidR="00DC1C8C">
        <w:rPr>
          <w:lang w:val="en-GB"/>
        </w:rPr>
        <w:t xml:space="preserve">This methodology is congruent with </w:t>
      </w:r>
      <w:r w:rsidR="009825A7">
        <w:rPr>
          <w:lang w:val="en-GB"/>
        </w:rPr>
        <w:t xml:space="preserve">the IALA Guideline on </w:t>
      </w:r>
      <w:r w:rsidR="00DC1C8C" w:rsidRPr="009613D0">
        <w:rPr>
          <w:lang w:val="en-GB"/>
        </w:rPr>
        <w:t>W</w:t>
      </w:r>
      <w:r w:rsidR="009825A7">
        <w:rPr>
          <w:lang w:val="en-GB"/>
        </w:rPr>
        <w:t>eb</w:t>
      </w:r>
      <w:r w:rsidR="00DC1C8C" w:rsidRPr="009613D0">
        <w:rPr>
          <w:lang w:val="en-GB"/>
        </w:rPr>
        <w:t xml:space="preserve"> S</w:t>
      </w:r>
      <w:r w:rsidR="009825A7">
        <w:rPr>
          <w:lang w:val="en-GB"/>
        </w:rPr>
        <w:t>ervice</w:t>
      </w:r>
      <w:r w:rsidR="00DC1C8C" w:rsidRPr="009613D0">
        <w:rPr>
          <w:lang w:val="en-GB"/>
        </w:rPr>
        <w:t xml:space="preserve"> B</w:t>
      </w:r>
      <w:r w:rsidR="009825A7">
        <w:rPr>
          <w:lang w:val="en-GB"/>
        </w:rPr>
        <w:t>ased</w:t>
      </w:r>
      <w:r w:rsidR="00DC1C8C" w:rsidRPr="009613D0">
        <w:rPr>
          <w:lang w:val="en-GB"/>
        </w:rPr>
        <w:t xml:space="preserve"> S-100 D</w:t>
      </w:r>
      <w:r w:rsidR="009825A7">
        <w:rPr>
          <w:lang w:val="en-GB"/>
        </w:rPr>
        <w:t>ata</w:t>
      </w:r>
      <w:r w:rsidR="00DC1C8C" w:rsidRPr="009613D0">
        <w:rPr>
          <w:lang w:val="en-GB"/>
        </w:rPr>
        <w:t xml:space="preserve"> E</w:t>
      </w:r>
      <w:r w:rsidR="009825A7">
        <w:rPr>
          <w:lang w:val="en-GB"/>
        </w:rPr>
        <w:t>xchange (G1157)</w:t>
      </w:r>
      <w:r w:rsidR="00DC1C8C">
        <w:rPr>
          <w:lang w:val="en-GB"/>
        </w:rPr>
        <w:t>.</w:t>
      </w:r>
    </w:p>
    <w:p w14:paraId="622EE340" w14:textId="36D4B208" w:rsidR="00DA4C5D" w:rsidRDefault="00DA4C5D" w:rsidP="00D74429">
      <w:pPr>
        <w:pStyle w:val="List1"/>
        <w:numPr>
          <w:ilvl w:val="0"/>
          <w:numId w:val="0"/>
        </w:numPr>
        <w:ind w:left="540"/>
        <w:jc w:val="left"/>
        <w:rPr>
          <w:lang w:val="en-GB"/>
        </w:rPr>
      </w:pPr>
      <w:r>
        <w:rPr>
          <w:lang w:val="en-GB"/>
        </w:rPr>
        <w:t xml:space="preserve">Preferably, </w:t>
      </w:r>
      <w:r w:rsidR="00D74429">
        <w:rPr>
          <w:lang w:val="en-GB"/>
        </w:rPr>
        <w:t>a similar</w:t>
      </w:r>
      <w:r>
        <w:rPr>
          <w:lang w:val="en-GB"/>
        </w:rPr>
        <w:t xml:space="preserve"> methodology </w:t>
      </w:r>
      <w:r w:rsidR="00D74429">
        <w:rPr>
          <w:lang w:val="en-GB"/>
        </w:rPr>
        <w:t>sh</w:t>
      </w:r>
      <w:r>
        <w:rPr>
          <w:lang w:val="en-GB"/>
        </w:rPr>
        <w:t>ould be used for other e-Navigation Maritime Services such as LPS and VTS.</w:t>
      </w:r>
      <w:r w:rsidR="00FD52DF">
        <w:rPr>
          <w:lang w:val="en-GB"/>
        </w:rPr>
        <w:t xml:space="preserve"> </w:t>
      </w:r>
      <w:r w:rsidR="00D74429">
        <w:rPr>
          <w:lang w:val="en-GB"/>
        </w:rPr>
        <w:t xml:space="preserve">Although LPS, VTS and other Maritime Services are </w:t>
      </w:r>
      <w:r w:rsidR="00EF78D5">
        <w:rPr>
          <w:lang w:val="en-GB"/>
        </w:rPr>
        <w:t xml:space="preserve">outside </w:t>
      </w:r>
      <w:r w:rsidR="00FF341D">
        <w:rPr>
          <w:lang w:val="en-GB"/>
        </w:rPr>
        <w:t xml:space="preserve">of </w:t>
      </w:r>
      <w:r w:rsidR="00EF78D5">
        <w:rPr>
          <w:lang w:val="en-GB"/>
        </w:rPr>
        <w:t>the ARM Committeee’s</w:t>
      </w:r>
      <w:r w:rsidR="00D74429">
        <w:rPr>
          <w:lang w:val="en-GB"/>
        </w:rPr>
        <w:t xml:space="preserve"> </w:t>
      </w:r>
      <w:r w:rsidR="00EF78D5">
        <w:rPr>
          <w:lang w:val="en-GB"/>
        </w:rPr>
        <w:t>remit</w:t>
      </w:r>
      <w:r w:rsidR="00D74429">
        <w:rPr>
          <w:lang w:val="en-GB"/>
        </w:rPr>
        <w:t>, their information exchange methologogies should be harmonized.</w:t>
      </w:r>
    </w:p>
    <w:p w14:paraId="3BD0EB89" w14:textId="77777777" w:rsidR="00DA4C5D" w:rsidRPr="001120B5" w:rsidRDefault="00DA4C5D" w:rsidP="00DA4C5D">
      <w:pPr>
        <w:pStyle w:val="List1"/>
        <w:rPr>
          <w:lang w:val="en-GB"/>
        </w:rPr>
      </w:pPr>
      <w:r w:rsidRPr="001120B5">
        <w:rPr>
          <w:lang w:val="en-GB"/>
        </w:rPr>
        <w:t>Review the proposed addition from the ENAV Committee regarding technologies to support ship reporting</w:t>
      </w:r>
      <w:r>
        <w:rPr>
          <w:lang w:val="en-GB"/>
        </w:rPr>
        <w:t xml:space="preserve"> (section 5.6.5)</w:t>
      </w:r>
      <w:r w:rsidRPr="001120B5">
        <w:rPr>
          <w:lang w:val="en-GB"/>
        </w:rPr>
        <w:t>.</w:t>
      </w:r>
    </w:p>
    <w:p w14:paraId="09811310" w14:textId="6D6D302F" w:rsidR="00DA4C5D" w:rsidRPr="00B63C8D" w:rsidRDefault="00401D1F" w:rsidP="00163AFC">
      <w:pPr>
        <w:pStyle w:val="List1"/>
        <w:numPr>
          <w:ilvl w:val="0"/>
          <w:numId w:val="0"/>
        </w:numPr>
        <w:ind w:left="540" w:hanging="540"/>
        <w:rPr>
          <w:lang w:val="en-GB"/>
        </w:rPr>
      </w:pPr>
      <w:r w:rsidRPr="00B63C8D">
        <w:rPr>
          <w:lang w:val="en-GB"/>
        </w:rPr>
        <w:t>ARM</w:t>
      </w:r>
      <w:r w:rsidR="00DA4C5D" w:rsidRPr="00B63C8D">
        <w:rPr>
          <w:lang w:val="en-GB"/>
        </w:rPr>
        <w:t xml:space="preserve">: </w:t>
      </w:r>
      <w:r w:rsidR="00DA4C5D" w:rsidRPr="00B63C8D">
        <w:rPr>
          <w:lang w:val="en-GB"/>
        </w:rPr>
        <w:tab/>
        <w:t>This additional consideration when selecting the communications systems will be added to the next version of G1159.</w:t>
      </w:r>
    </w:p>
    <w:p w14:paraId="1710B279" w14:textId="2BC76908" w:rsidR="009F5C36" w:rsidRPr="001120B5" w:rsidRDefault="00AA76C0" w:rsidP="00E66034">
      <w:pPr>
        <w:pStyle w:val="Heading1"/>
      </w:pPr>
      <w:r w:rsidRPr="001120B5">
        <w:t>Action requested</w:t>
      </w:r>
    </w:p>
    <w:p w14:paraId="4B1EB407" w14:textId="70BF2874" w:rsidR="005E4570" w:rsidRDefault="00DA4C5D" w:rsidP="003956B5">
      <w:pPr>
        <w:pStyle w:val="List1"/>
        <w:numPr>
          <w:ilvl w:val="3"/>
          <w:numId w:val="16"/>
        </w:numPr>
        <w:tabs>
          <w:tab w:val="left" w:pos="2520"/>
        </w:tabs>
        <w:ind w:left="360"/>
        <w:rPr>
          <w:lang w:val="en-GB"/>
        </w:rPr>
      </w:pPr>
      <w:r>
        <w:rPr>
          <w:lang w:val="en-GB"/>
        </w:rPr>
        <w:t xml:space="preserve">The ENAV Committee is requested to </w:t>
      </w:r>
      <w:r w:rsidR="00740E05">
        <w:rPr>
          <w:lang w:val="en-GB"/>
        </w:rPr>
        <w:t>reviw</w:t>
      </w:r>
      <w:r>
        <w:rPr>
          <w:lang w:val="en-GB"/>
        </w:rPr>
        <w:t xml:space="preserve"> the reponses to the issues raised in </w:t>
      </w:r>
      <w:r w:rsidR="006B76BA">
        <w:rPr>
          <w:lang w:val="en-GB"/>
        </w:rPr>
        <w:t>ARM15-8.5.1</w:t>
      </w:r>
      <w:r>
        <w:rPr>
          <w:lang w:val="en-GB"/>
        </w:rPr>
        <w:t xml:space="preserve"> and acknowledge that they</w:t>
      </w:r>
      <w:r w:rsidR="00740E05">
        <w:rPr>
          <w:lang w:val="en-GB"/>
        </w:rPr>
        <w:t xml:space="preserve"> adequatly </w:t>
      </w:r>
      <w:r>
        <w:rPr>
          <w:lang w:val="en-GB"/>
        </w:rPr>
        <w:t>address</w:t>
      </w:r>
      <w:r w:rsidR="00740E05">
        <w:rPr>
          <w:lang w:val="en-GB"/>
        </w:rPr>
        <w:t xml:space="preserve"> these issues.</w:t>
      </w:r>
    </w:p>
    <w:p w14:paraId="2EE9CE98" w14:textId="31CD52B3" w:rsidR="007C2B83" w:rsidRPr="00401D1F" w:rsidRDefault="00401D1F" w:rsidP="00401D1F">
      <w:pPr>
        <w:pStyle w:val="List1"/>
        <w:numPr>
          <w:ilvl w:val="3"/>
          <w:numId w:val="16"/>
        </w:numPr>
        <w:spacing w:after="0"/>
        <w:ind w:left="360"/>
        <w:jc w:val="left"/>
        <w:rPr>
          <w:lang w:val="en-GB"/>
        </w:rPr>
      </w:pPr>
      <w:r>
        <w:rPr>
          <w:lang w:val="en-GB"/>
        </w:rPr>
        <w:t>The ARM Committee</w:t>
      </w:r>
      <w:r w:rsidR="007C2B83">
        <w:rPr>
          <w:lang w:val="en-GB"/>
        </w:rPr>
        <w:t xml:space="preserve"> recommends that an IALA Cross Committee be established to address harmonization</w:t>
      </w:r>
      <w:r w:rsidR="00EE6A81">
        <w:rPr>
          <w:lang w:val="en-GB"/>
        </w:rPr>
        <w:t xml:space="preserve"> of ship/shore</w:t>
      </w:r>
      <w:r>
        <w:rPr>
          <w:lang w:val="en-GB"/>
        </w:rPr>
        <w:t xml:space="preserve"> </w:t>
      </w:r>
      <w:r w:rsidR="002F3C21" w:rsidRPr="00401D1F">
        <w:rPr>
          <w:lang w:val="en-GB"/>
        </w:rPr>
        <w:t xml:space="preserve">information exchange methodologies </w:t>
      </w:r>
      <w:r w:rsidR="007604FD" w:rsidRPr="00401D1F">
        <w:rPr>
          <w:lang w:val="en-GB"/>
        </w:rPr>
        <w:t>for all e-</w:t>
      </w:r>
      <w:r w:rsidR="0027108C" w:rsidRPr="00401D1F">
        <w:rPr>
          <w:lang w:val="en-GB"/>
        </w:rPr>
        <w:t>Navigation Maritime Services</w:t>
      </w:r>
    </w:p>
    <w:p w14:paraId="139AA648" w14:textId="77777777" w:rsidR="007C2B83" w:rsidRDefault="007C2B83" w:rsidP="00A95310">
      <w:pPr>
        <w:pStyle w:val="List1"/>
        <w:numPr>
          <w:ilvl w:val="0"/>
          <w:numId w:val="0"/>
        </w:numPr>
        <w:rPr>
          <w:lang w:val="en-GB"/>
        </w:rPr>
      </w:pPr>
    </w:p>
    <w:p w14:paraId="75C058E5" w14:textId="77777777" w:rsidR="007A047F" w:rsidRPr="001120B5" w:rsidRDefault="007A047F" w:rsidP="00F33F39">
      <w:pPr>
        <w:pStyle w:val="List1"/>
        <w:numPr>
          <w:ilvl w:val="0"/>
          <w:numId w:val="0"/>
        </w:numPr>
        <w:rPr>
          <w:lang w:val="en-GB"/>
        </w:rPr>
      </w:pPr>
    </w:p>
    <w:sectPr w:rsidR="007A047F" w:rsidRPr="001120B5" w:rsidSect="005D05AC">
      <w:headerReference w:type="default" r:id="rId13"/>
      <w:footerReference w:type="defaul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154E5" w14:textId="77777777" w:rsidR="00266F11" w:rsidRDefault="00266F11" w:rsidP="00002906">
      <w:r>
        <w:separator/>
      </w:r>
    </w:p>
  </w:endnote>
  <w:endnote w:type="continuationSeparator" w:id="0">
    <w:p w14:paraId="46654906" w14:textId="77777777" w:rsidR="00266F11" w:rsidRDefault="00266F1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557975E2" w:rsidR="00002906" w:rsidRDefault="00002906">
    <w:pPr>
      <w:pStyle w:val="Footer"/>
    </w:pPr>
    <w:r>
      <w:tab/>
    </w:r>
    <w:r>
      <w:rPr>
        <w:noProof w:val="0"/>
      </w:rPr>
      <w:fldChar w:fldCharType="begin"/>
    </w:r>
    <w:r>
      <w:instrText xml:space="preserve"> PAGE   \* MERGEFORMAT </w:instrText>
    </w:r>
    <w:r>
      <w:rPr>
        <w:noProof w:val="0"/>
      </w:rPr>
      <w:fldChar w:fldCharType="separate"/>
    </w:r>
    <w:r w:rsidR="005E4541">
      <w:t>1</w:t>
    </w:r>
    <w:r>
      <w:fldChar w:fldCharType="end"/>
    </w:r>
    <w:r w:rsidR="008219F5">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BA4D3" w14:textId="77777777" w:rsidR="00266F11" w:rsidRDefault="00266F11" w:rsidP="00002906">
      <w:r>
        <w:separator/>
      </w:r>
    </w:p>
  </w:footnote>
  <w:footnote w:type="continuationSeparator" w:id="0">
    <w:p w14:paraId="64B7C5C3" w14:textId="77777777" w:rsidR="00266F11" w:rsidRDefault="00266F11"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7777777" w:rsidR="00073774" w:rsidRDefault="00043DE3">
    <w:pPr>
      <w:pStyle w:val="Header"/>
    </w:pPr>
    <w:r>
      <w:rPr>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CBB20C6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4787C45"/>
    <w:multiLevelType w:val="hybridMultilevel"/>
    <w:tmpl w:val="85080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65C21BDB"/>
    <w:multiLevelType w:val="hybridMultilevel"/>
    <w:tmpl w:val="D408B1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3730FB"/>
    <w:multiLevelType w:val="hybridMultilevel"/>
    <w:tmpl w:val="7F7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7CB57854"/>
    <w:multiLevelType w:val="hybridMultilevel"/>
    <w:tmpl w:val="FCEA46BE"/>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3426634">
    <w:abstractNumId w:val="13"/>
  </w:num>
  <w:num w:numId="2" w16cid:durableId="81488654">
    <w:abstractNumId w:val="20"/>
  </w:num>
  <w:num w:numId="3" w16cid:durableId="1486312290">
    <w:abstractNumId w:val="13"/>
  </w:num>
  <w:num w:numId="4" w16cid:durableId="2142796399">
    <w:abstractNumId w:val="13"/>
  </w:num>
  <w:num w:numId="5" w16cid:durableId="785125696">
    <w:abstractNumId w:val="5"/>
  </w:num>
  <w:num w:numId="6" w16cid:durableId="1172333479">
    <w:abstractNumId w:val="14"/>
  </w:num>
  <w:num w:numId="7" w16cid:durableId="2055543274">
    <w:abstractNumId w:val="11"/>
  </w:num>
  <w:num w:numId="8" w16cid:durableId="1424454528">
    <w:abstractNumId w:val="0"/>
  </w:num>
  <w:num w:numId="9" w16cid:durableId="1506943742">
    <w:abstractNumId w:val="4"/>
  </w:num>
  <w:num w:numId="10" w16cid:durableId="129711481">
    <w:abstractNumId w:val="15"/>
  </w:num>
  <w:num w:numId="11" w16cid:durableId="1402170162">
    <w:abstractNumId w:val="1"/>
  </w:num>
  <w:num w:numId="12" w16cid:durableId="1157065323">
    <w:abstractNumId w:val="1"/>
  </w:num>
  <w:num w:numId="13" w16cid:durableId="109083460">
    <w:abstractNumId w:val="1"/>
  </w:num>
  <w:num w:numId="14" w16cid:durableId="1093933557">
    <w:abstractNumId w:val="1"/>
  </w:num>
  <w:num w:numId="15" w16cid:durableId="1283920195">
    <w:abstractNumId w:val="1"/>
  </w:num>
  <w:num w:numId="16" w16cid:durableId="1438598528">
    <w:abstractNumId w:val="6"/>
  </w:num>
  <w:num w:numId="17" w16cid:durableId="733814180">
    <w:abstractNumId w:val="19"/>
  </w:num>
  <w:num w:numId="18" w16cid:durableId="427164133">
    <w:abstractNumId w:val="2"/>
  </w:num>
  <w:num w:numId="19" w16cid:durableId="2021201133">
    <w:abstractNumId w:val="16"/>
  </w:num>
  <w:num w:numId="20" w16cid:durableId="159737418">
    <w:abstractNumId w:val="12"/>
  </w:num>
  <w:num w:numId="21" w16cid:durableId="113905902">
    <w:abstractNumId w:val="6"/>
  </w:num>
  <w:num w:numId="22" w16cid:durableId="1980064456">
    <w:abstractNumId w:val="6"/>
  </w:num>
  <w:num w:numId="23" w16cid:durableId="16083507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7316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8272441">
    <w:abstractNumId w:val="7"/>
  </w:num>
  <w:num w:numId="26" w16cid:durableId="665938105">
    <w:abstractNumId w:val="3"/>
  </w:num>
  <w:num w:numId="27" w16cid:durableId="188954973">
    <w:abstractNumId w:val="6"/>
  </w:num>
  <w:num w:numId="28" w16cid:durableId="443498614">
    <w:abstractNumId w:val="1"/>
  </w:num>
  <w:num w:numId="29" w16cid:durableId="865943906">
    <w:abstractNumId w:val="1"/>
  </w:num>
  <w:num w:numId="30" w16cid:durableId="561453303">
    <w:abstractNumId w:val="1"/>
  </w:num>
  <w:num w:numId="31" w16cid:durableId="18949964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3202909">
    <w:abstractNumId w:val="1"/>
  </w:num>
  <w:num w:numId="33" w16cid:durableId="608859251">
    <w:abstractNumId w:val="1"/>
  </w:num>
  <w:num w:numId="34" w16cid:durableId="504906984">
    <w:abstractNumId w:val="18"/>
  </w:num>
  <w:num w:numId="35" w16cid:durableId="45884424">
    <w:abstractNumId w:val="17"/>
  </w:num>
  <w:num w:numId="36" w16cid:durableId="1658872934">
    <w:abstractNumId w:val="9"/>
  </w:num>
  <w:num w:numId="37" w16cid:durableId="6951577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59381584">
    <w:abstractNumId w:val="10"/>
  </w:num>
  <w:num w:numId="39" w16cid:durableId="69199697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36C62"/>
    <w:rsid w:val="00043DE3"/>
    <w:rsid w:val="00050DA7"/>
    <w:rsid w:val="00053F1E"/>
    <w:rsid w:val="00073774"/>
    <w:rsid w:val="00073D33"/>
    <w:rsid w:val="00091F9D"/>
    <w:rsid w:val="000A1D0D"/>
    <w:rsid w:val="000A411B"/>
    <w:rsid w:val="000A5A01"/>
    <w:rsid w:val="000B4F37"/>
    <w:rsid w:val="000C407F"/>
    <w:rsid w:val="001120B5"/>
    <w:rsid w:val="00117994"/>
    <w:rsid w:val="00135447"/>
    <w:rsid w:val="00151FB4"/>
    <w:rsid w:val="00152273"/>
    <w:rsid w:val="00163AFC"/>
    <w:rsid w:val="001766D2"/>
    <w:rsid w:val="00186F01"/>
    <w:rsid w:val="001A23F2"/>
    <w:rsid w:val="001A654A"/>
    <w:rsid w:val="001B0283"/>
    <w:rsid w:val="001C74CF"/>
    <w:rsid w:val="001D3499"/>
    <w:rsid w:val="001E5BDE"/>
    <w:rsid w:val="001F3A20"/>
    <w:rsid w:val="00206A40"/>
    <w:rsid w:val="00220FF8"/>
    <w:rsid w:val="00224DB9"/>
    <w:rsid w:val="00250728"/>
    <w:rsid w:val="0026494A"/>
    <w:rsid w:val="00265891"/>
    <w:rsid w:val="00266F11"/>
    <w:rsid w:val="0027108C"/>
    <w:rsid w:val="002839C0"/>
    <w:rsid w:val="00290C6B"/>
    <w:rsid w:val="002922BC"/>
    <w:rsid w:val="00294474"/>
    <w:rsid w:val="002C45B1"/>
    <w:rsid w:val="002D6336"/>
    <w:rsid w:val="002D6741"/>
    <w:rsid w:val="002E5B9D"/>
    <w:rsid w:val="002F3C21"/>
    <w:rsid w:val="0032357C"/>
    <w:rsid w:val="00333ECF"/>
    <w:rsid w:val="00355BC3"/>
    <w:rsid w:val="00365FE6"/>
    <w:rsid w:val="0036658F"/>
    <w:rsid w:val="003956B5"/>
    <w:rsid w:val="003A36D8"/>
    <w:rsid w:val="003B59C2"/>
    <w:rsid w:val="003C7F46"/>
    <w:rsid w:val="003D55DD"/>
    <w:rsid w:val="003E1831"/>
    <w:rsid w:val="00401D1F"/>
    <w:rsid w:val="004075D3"/>
    <w:rsid w:val="00415FC2"/>
    <w:rsid w:val="00421C1E"/>
    <w:rsid w:val="00424954"/>
    <w:rsid w:val="00432982"/>
    <w:rsid w:val="00485F36"/>
    <w:rsid w:val="00497833"/>
    <w:rsid w:val="004B01A1"/>
    <w:rsid w:val="004C1386"/>
    <w:rsid w:val="004C220D"/>
    <w:rsid w:val="004D1034"/>
    <w:rsid w:val="004D1574"/>
    <w:rsid w:val="004D24E3"/>
    <w:rsid w:val="004D7711"/>
    <w:rsid w:val="004E0C3F"/>
    <w:rsid w:val="004E2050"/>
    <w:rsid w:val="004F5F35"/>
    <w:rsid w:val="00555AAD"/>
    <w:rsid w:val="00565669"/>
    <w:rsid w:val="00572B1F"/>
    <w:rsid w:val="00582E60"/>
    <w:rsid w:val="005A0683"/>
    <w:rsid w:val="005B0468"/>
    <w:rsid w:val="005D05AC"/>
    <w:rsid w:val="005E4541"/>
    <w:rsid w:val="005E4570"/>
    <w:rsid w:val="005E64C2"/>
    <w:rsid w:val="005E7DF2"/>
    <w:rsid w:val="00603D2E"/>
    <w:rsid w:val="00630F7F"/>
    <w:rsid w:val="00635AA7"/>
    <w:rsid w:val="00640405"/>
    <w:rsid w:val="0064129C"/>
    <w:rsid w:val="0064435F"/>
    <w:rsid w:val="00646FF2"/>
    <w:rsid w:val="006579EA"/>
    <w:rsid w:val="00664B06"/>
    <w:rsid w:val="006779C7"/>
    <w:rsid w:val="006B736A"/>
    <w:rsid w:val="006B76BA"/>
    <w:rsid w:val="006C6D1D"/>
    <w:rsid w:val="006D470F"/>
    <w:rsid w:val="006E3DEF"/>
    <w:rsid w:val="006E52C7"/>
    <w:rsid w:val="006E6755"/>
    <w:rsid w:val="007065E9"/>
    <w:rsid w:val="00727E88"/>
    <w:rsid w:val="00740E05"/>
    <w:rsid w:val="00740FB7"/>
    <w:rsid w:val="007604FD"/>
    <w:rsid w:val="00775878"/>
    <w:rsid w:val="007925A1"/>
    <w:rsid w:val="007A047F"/>
    <w:rsid w:val="007A04B4"/>
    <w:rsid w:val="007A5E8E"/>
    <w:rsid w:val="007B0869"/>
    <w:rsid w:val="007B365D"/>
    <w:rsid w:val="007C2B83"/>
    <w:rsid w:val="007C5642"/>
    <w:rsid w:val="007C775F"/>
    <w:rsid w:val="0080092C"/>
    <w:rsid w:val="008219F5"/>
    <w:rsid w:val="00872453"/>
    <w:rsid w:val="0088235A"/>
    <w:rsid w:val="00884A6A"/>
    <w:rsid w:val="008954B6"/>
    <w:rsid w:val="008B4E3E"/>
    <w:rsid w:val="008E1A13"/>
    <w:rsid w:val="008E762A"/>
    <w:rsid w:val="008F13DD"/>
    <w:rsid w:val="00902AA4"/>
    <w:rsid w:val="0090625A"/>
    <w:rsid w:val="00911CA7"/>
    <w:rsid w:val="009274BD"/>
    <w:rsid w:val="00946176"/>
    <w:rsid w:val="00955E03"/>
    <w:rsid w:val="009613D0"/>
    <w:rsid w:val="009626F5"/>
    <w:rsid w:val="009630E8"/>
    <w:rsid w:val="00980433"/>
    <w:rsid w:val="009825A7"/>
    <w:rsid w:val="00991484"/>
    <w:rsid w:val="009C5780"/>
    <w:rsid w:val="009F1E3E"/>
    <w:rsid w:val="009F3B6C"/>
    <w:rsid w:val="009F5C36"/>
    <w:rsid w:val="009F75B4"/>
    <w:rsid w:val="00A1180E"/>
    <w:rsid w:val="00A27F12"/>
    <w:rsid w:val="00A30579"/>
    <w:rsid w:val="00A34AB3"/>
    <w:rsid w:val="00A4092A"/>
    <w:rsid w:val="00A41679"/>
    <w:rsid w:val="00A430C2"/>
    <w:rsid w:val="00A54F1E"/>
    <w:rsid w:val="00A55C20"/>
    <w:rsid w:val="00A676D6"/>
    <w:rsid w:val="00A77A4D"/>
    <w:rsid w:val="00A81879"/>
    <w:rsid w:val="00A92518"/>
    <w:rsid w:val="00A95310"/>
    <w:rsid w:val="00AA76C0"/>
    <w:rsid w:val="00AD1474"/>
    <w:rsid w:val="00AD264B"/>
    <w:rsid w:val="00AE1B98"/>
    <w:rsid w:val="00AE35DA"/>
    <w:rsid w:val="00AE5FF7"/>
    <w:rsid w:val="00AF46F5"/>
    <w:rsid w:val="00B03ACC"/>
    <w:rsid w:val="00B077EC"/>
    <w:rsid w:val="00B15B24"/>
    <w:rsid w:val="00B428DA"/>
    <w:rsid w:val="00B614AD"/>
    <w:rsid w:val="00B63C8D"/>
    <w:rsid w:val="00B81199"/>
    <w:rsid w:val="00B8247E"/>
    <w:rsid w:val="00B84C15"/>
    <w:rsid w:val="00B96B04"/>
    <w:rsid w:val="00BE56DF"/>
    <w:rsid w:val="00C17C77"/>
    <w:rsid w:val="00C21007"/>
    <w:rsid w:val="00C40A3A"/>
    <w:rsid w:val="00C757B4"/>
    <w:rsid w:val="00CA04AF"/>
    <w:rsid w:val="00CD1C46"/>
    <w:rsid w:val="00CE6CD5"/>
    <w:rsid w:val="00CF3661"/>
    <w:rsid w:val="00CF57A7"/>
    <w:rsid w:val="00D0015A"/>
    <w:rsid w:val="00D16AAE"/>
    <w:rsid w:val="00D219FB"/>
    <w:rsid w:val="00D21A91"/>
    <w:rsid w:val="00D5566D"/>
    <w:rsid w:val="00D66087"/>
    <w:rsid w:val="00D74429"/>
    <w:rsid w:val="00DA1810"/>
    <w:rsid w:val="00DA4C5D"/>
    <w:rsid w:val="00DC1C8C"/>
    <w:rsid w:val="00DC369D"/>
    <w:rsid w:val="00DD16F5"/>
    <w:rsid w:val="00DF245A"/>
    <w:rsid w:val="00DF6E27"/>
    <w:rsid w:val="00E00005"/>
    <w:rsid w:val="00E00351"/>
    <w:rsid w:val="00E01D5B"/>
    <w:rsid w:val="00E17D4A"/>
    <w:rsid w:val="00E17F03"/>
    <w:rsid w:val="00E401AE"/>
    <w:rsid w:val="00E42E3C"/>
    <w:rsid w:val="00E5027E"/>
    <w:rsid w:val="00E5269C"/>
    <w:rsid w:val="00E55DCE"/>
    <w:rsid w:val="00E63426"/>
    <w:rsid w:val="00E6545A"/>
    <w:rsid w:val="00E66034"/>
    <w:rsid w:val="00E8013A"/>
    <w:rsid w:val="00E81D72"/>
    <w:rsid w:val="00E82B84"/>
    <w:rsid w:val="00E86C6E"/>
    <w:rsid w:val="00E909D7"/>
    <w:rsid w:val="00E9259D"/>
    <w:rsid w:val="00E93C9B"/>
    <w:rsid w:val="00E97226"/>
    <w:rsid w:val="00EA4017"/>
    <w:rsid w:val="00EC0274"/>
    <w:rsid w:val="00EC1446"/>
    <w:rsid w:val="00ED1CAA"/>
    <w:rsid w:val="00EE3F2F"/>
    <w:rsid w:val="00EE50E2"/>
    <w:rsid w:val="00EE6A81"/>
    <w:rsid w:val="00EF5433"/>
    <w:rsid w:val="00EF78D5"/>
    <w:rsid w:val="00F33F39"/>
    <w:rsid w:val="00F44C22"/>
    <w:rsid w:val="00F56092"/>
    <w:rsid w:val="00F70AA6"/>
    <w:rsid w:val="00F73F78"/>
    <w:rsid w:val="00F745FB"/>
    <w:rsid w:val="00F82ADE"/>
    <w:rsid w:val="00F91B0D"/>
    <w:rsid w:val="00F93819"/>
    <w:rsid w:val="00FA3CA2"/>
    <w:rsid w:val="00FA5842"/>
    <w:rsid w:val="00FA6769"/>
    <w:rsid w:val="00FC57EF"/>
    <w:rsid w:val="00FD03CA"/>
    <w:rsid w:val="00FD0563"/>
    <w:rsid w:val="00FD52DF"/>
    <w:rsid w:val="00FD7E44"/>
    <w:rsid w:val="00FF341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noProof/>
      <w:sz w:val="22"/>
      <w:lang w:val="en-US"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16"/>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16"/>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6"/>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rsid w:val="006E3DEF"/>
    <w:rPr>
      <w:color w:val="0563C1" w:themeColor="hyperlink"/>
      <w:u w:val="single"/>
    </w:rPr>
  </w:style>
  <w:style w:type="character" w:styleId="UnresolvedMention">
    <w:name w:val="Unresolved Mention"/>
    <w:basedOn w:val="DefaultParagraphFont"/>
    <w:uiPriority w:val="99"/>
    <w:semiHidden/>
    <w:unhideWhenUsed/>
    <w:rsid w:val="006E3DEF"/>
    <w:rPr>
      <w:color w:val="605E5C"/>
      <w:shd w:val="clear" w:color="auto" w:fill="E1DFDD"/>
    </w:rPr>
  </w:style>
  <w:style w:type="paragraph" w:styleId="NoSpacing">
    <w:name w:val="No Spacing"/>
    <w:uiPriority w:val="1"/>
    <w:qFormat/>
    <w:rsid w:val="00A4092A"/>
    <w:rPr>
      <w:rFonts w:asciiTheme="minorHAnsi" w:eastAsiaTheme="minorHAnsi" w:hAnsiTheme="minorHAnsi" w:cstheme="minorBidi"/>
      <w:sz w:val="22"/>
      <w:szCs w:val="22"/>
      <w:lang w:val="en-GB" w:eastAsia="en-US"/>
    </w:rPr>
  </w:style>
  <w:style w:type="character" w:styleId="FollowedHyperlink">
    <w:name w:val="FollowedHyperlink"/>
    <w:basedOn w:val="DefaultParagraphFont"/>
    <w:rsid w:val="00ED1C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n.imo.org/localresources/en/OurWork/Facilitation/FAL%20related%20nonmandatory%20documents/FAL.5-Circ.42-Rev.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mo.org/en/OurWork/Facilitation/Pages/IMOCompendium.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2.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658B2DEC-DFC0-4577-96FD-E557AFD96DB8}">
  <ds:schemaRefs>
    <ds:schemaRef ds:uri="http://schemas.openxmlformats.org/officeDocument/2006/bibliography"/>
  </ds:schemaRefs>
</ds:datastoreItem>
</file>

<file path=customXml/itemProps4.xml><?xml version="1.0" encoding="utf-8"?>
<ds:datastoreItem xmlns:ds="http://schemas.openxmlformats.org/officeDocument/2006/customXml" ds:itemID="{C14A5FF1-CF6C-4EEE-9313-E928E655B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1</TotalTime>
  <Pages>3</Pages>
  <Words>1062</Words>
  <Characters>6123</Characters>
  <Application>Microsoft Office Word</Application>
  <DocSecurity>0</DocSecurity>
  <Lines>51</Lines>
  <Paragraphs>14</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4</cp:revision>
  <cp:lastPrinted>2006-10-19T10:49:00Z</cp:lastPrinted>
  <dcterms:created xsi:type="dcterms:W3CDTF">2022-03-21T16:06:00Z</dcterms:created>
  <dcterms:modified xsi:type="dcterms:W3CDTF">2022-09-02T11:02:00Z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